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1C" w:rsidRDefault="009A4F1C" w:rsidP="009A4F1C">
      <w:pPr>
        <w:pStyle w:val="Nadpis9"/>
        <w:spacing w:before="0" w:after="0"/>
        <w:rPr>
          <w:rFonts w:ascii="Times New Roman" w:hAnsi="Times New Roman" w:cs="Times New Roman"/>
          <w:sz w:val="28"/>
          <w:szCs w:val="28"/>
        </w:rPr>
      </w:pPr>
      <w:r>
        <w:rPr>
          <w:rFonts w:ascii="Times New Roman" w:hAnsi="Times New Roman" w:cs="Times New Roman"/>
          <w:sz w:val="28"/>
          <w:szCs w:val="28"/>
        </w:rPr>
        <w:t>Obec Dvorníky</w:t>
      </w:r>
    </w:p>
    <w:tbl>
      <w:tblPr>
        <w:tblW w:w="9212" w:type="dxa"/>
        <w:tblLayout w:type="fixed"/>
        <w:tblCellMar>
          <w:left w:w="10" w:type="dxa"/>
          <w:right w:w="10" w:type="dxa"/>
        </w:tblCellMar>
        <w:tblLook w:val="0000"/>
      </w:tblPr>
      <w:tblGrid>
        <w:gridCol w:w="4395"/>
        <w:gridCol w:w="4817"/>
      </w:tblGrid>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8"/>
              </w:rPr>
            </w:pPr>
          </w:p>
        </w:tc>
      </w:tr>
      <w:tr w:rsidR="009A4F1C" w:rsidTr="00F5679F">
        <w:trPr>
          <w:trHeight w:val="87"/>
        </w:trPr>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8"/>
              </w:rPr>
            </w:pP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2"/>
              </w:rPr>
            </w:pPr>
            <w:r>
              <w:rPr>
                <w:sz w:val="22"/>
              </w:rPr>
              <w:t>Pre  riadne  zasadnutie</w:t>
            </w: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2"/>
              </w:rPr>
            </w:pPr>
            <w:r>
              <w:rPr>
                <w:sz w:val="22"/>
              </w:rPr>
              <w:t>Obecného zastupiteľstva</w:t>
            </w: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2"/>
              </w:rPr>
            </w:pPr>
            <w:r>
              <w:rPr>
                <w:sz w:val="22"/>
              </w:rPr>
              <w:t xml:space="preserve">v Dvorníkoch, dňa </w:t>
            </w:r>
            <w:r w:rsidR="00F2254F">
              <w:rPr>
                <w:sz w:val="22"/>
              </w:rPr>
              <w:t>15.12.2023</w:t>
            </w: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2"/>
              </w:rPr>
            </w:pP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2"/>
              </w:rPr>
            </w:pPr>
            <w:r>
              <w:rPr>
                <w:sz w:val="22"/>
              </w:rPr>
              <w:t xml:space="preserve">K bodu rokovania číslo:     </w:t>
            </w: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8"/>
              </w:rPr>
            </w:pP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ind w:left="-567" w:firstLine="141"/>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8"/>
              </w:rPr>
            </w:pP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pPr>
            <w:r>
              <w:t>Názov materiálu:</w:t>
            </w:r>
          </w:p>
        </w:tc>
        <w:tc>
          <w:tcPr>
            <w:tcW w:w="4817" w:type="dxa"/>
            <w:shd w:val="clear" w:color="auto" w:fill="auto"/>
            <w:tcMar>
              <w:top w:w="0" w:type="dxa"/>
              <w:left w:w="70" w:type="dxa"/>
              <w:bottom w:w="0" w:type="dxa"/>
              <w:right w:w="70" w:type="dxa"/>
            </w:tcMar>
          </w:tcPr>
          <w:p w:rsidR="009A4F1C" w:rsidRDefault="009A4F1C" w:rsidP="00AB5A95">
            <w:pPr>
              <w:snapToGrid w:val="0"/>
              <w:rPr>
                <w:sz w:val="28"/>
              </w:rPr>
            </w:pPr>
          </w:p>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rPr>
                <w:sz w:val="28"/>
              </w:rPr>
            </w:pPr>
          </w:p>
        </w:tc>
        <w:tc>
          <w:tcPr>
            <w:tcW w:w="4817" w:type="dxa"/>
            <w:shd w:val="clear" w:color="auto" w:fill="auto"/>
            <w:tcMar>
              <w:top w:w="0" w:type="dxa"/>
              <w:left w:w="70" w:type="dxa"/>
              <w:bottom w:w="0" w:type="dxa"/>
              <w:right w:w="70" w:type="dxa"/>
            </w:tcMar>
          </w:tcPr>
          <w:p w:rsidR="009A4F1C" w:rsidRDefault="009A4F1C" w:rsidP="00AB5A95">
            <w:pPr>
              <w:snapToGrid w:val="0"/>
              <w:rPr>
                <w:sz w:val="28"/>
              </w:rPr>
            </w:pPr>
          </w:p>
        </w:tc>
      </w:tr>
      <w:tr w:rsidR="009A4F1C" w:rsidTr="00AB5A95">
        <w:trPr>
          <w:trHeight w:val="713"/>
        </w:trPr>
        <w:tc>
          <w:tcPr>
            <w:tcW w:w="9212" w:type="dxa"/>
            <w:gridSpan w:val="2"/>
            <w:shd w:val="clear" w:color="auto" w:fill="auto"/>
            <w:tcMar>
              <w:top w:w="0" w:type="dxa"/>
              <w:left w:w="70" w:type="dxa"/>
              <w:bottom w:w="0" w:type="dxa"/>
              <w:right w:w="70" w:type="dxa"/>
            </w:tcMar>
          </w:tcPr>
          <w:p w:rsidR="00681333" w:rsidRDefault="00014CCE" w:rsidP="00681333">
            <w:pPr>
              <w:rPr>
                <w:b/>
              </w:rPr>
            </w:pPr>
            <w:r>
              <w:rPr>
                <w:b/>
              </w:rPr>
              <w:t>Ú</w:t>
            </w:r>
            <w:r w:rsidR="00681333">
              <w:rPr>
                <w:b/>
              </w:rPr>
              <w:t xml:space="preserve">čelová rezerva na vodovod </w:t>
            </w:r>
          </w:p>
          <w:p w:rsidR="00681333" w:rsidRDefault="00014CCE" w:rsidP="00681333">
            <w:pPr>
              <w:rPr>
                <w:b/>
              </w:rPr>
            </w:pPr>
            <w:r>
              <w:rPr>
                <w:b/>
              </w:rPr>
              <w:t>Ú</w:t>
            </w:r>
            <w:r w:rsidR="00681333">
              <w:rPr>
                <w:b/>
              </w:rPr>
              <w:t>čelová rezerva na kanalizáciu</w:t>
            </w:r>
          </w:p>
          <w:p w:rsidR="00467FB0" w:rsidRDefault="00467FB0" w:rsidP="00467FB0">
            <w:pPr>
              <w:rPr>
                <w:b/>
              </w:rPr>
            </w:pPr>
          </w:p>
          <w:p w:rsidR="00681333" w:rsidRDefault="00681333" w:rsidP="00467FB0">
            <w:pPr>
              <w:rPr>
                <w:b/>
                <w:bCs/>
              </w:rPr>
            </w:pPr>
          </w:p>
          <w:p w:rsidR="0093025E" w:rsidRDefault="0093025E" w:rsidP="0093025E">
            <w:pPr>
              <w:jc w:val="center"/>
            </w:pPr>
            <w:bookmarkStart w:id="0" w:name="_Hlk148076630"/>
          </w:p>
          <w:bookmarkEnd w:id="0"/>
          <w:p w:rsidR="009A4F1C" w:rsidRDefault="009A4F1C" w:rsidP="00AB5A95">
            <w:pPr>
              <w:snapToGrid w:val="0"/>
              <w:rPr>
                <w:b/>
                <w:bCs/>
              </w:rPr>
            </w:pPr>
          </w:p>
          <w:p w:rsidR="009A4F1C" w:rsidRDefault="009A4F1C" w:rsidP="00AB5A95"/>
        </w:tc>
      </w:tr>
      <w:tr w:rsidR="009A4F1C" w:rsidTr="00F5679F">
        <w:tc>
          <w:tcPr>
            <w:tcW w:w="4395" w:type="dxa"/>
            <w:shd w:val="clear" w:color="auto" w:fill="auto"/>
            <w:tcMar>
              <w:top w:w="0" w:type="dxa"/>
              <w:left w:w="70" w:type="dxa"/>
              <w:bottom w:w="0" w:type="dxa"/>
              <w:right w:w="70" w:type="dxa"/>
            </w:tcMar>
          </w:tcPr>
          <w:p w:rsidR="009A4F1C" w:rsidRDefault="009A4F1C" w:rsidP="00AB5A95">
            <w:pPr>
              <w:snapToGrid w:val="0"/>
            </w:pPr>
          </w:p>
        </w:tc>
        <w:tc>
          <w:tcPr>
            <w:tcW w:w="4817" w:type="dxa"/>
            <w:shd w:val="clear" w:color="auto" w:fill="auto"/>
            <w:tcMar>
              <w:top w:w="0" w:type="dxa"/>
              <w:left w:w="70" w:type="dxa"/>
              <w:bottom w:w="0" w:type="dxa"/>
              <w:right w:w="70" w:type="dxa"/>
            </w:tcMar>
          </w:tcPr>
          <w:p w:rsidR="009A4F1C" w:rsidRDefault="009A4F1C" w:rsidP="00AB5A95">
            <w:pPr>
              <w:snapToGrid w:val="0"/>
            </w:pPr>
          </w:p>
        </w:tc>
      </w:tr>
      <w:tr w:rsidR="009A4F1C" w:rsidTr="00F5679F">
        <w:trPr>
          <w:cantSplit/>
        </w:trPr>
        <w:tc>
          <w:tcPr>
            <w:tcW w:w="4395" w:type="dxa"/>
            <w:shd w:val="clear" w:color="auto" w:fill="auto"/>
            <w:tcMar>
              <w:top w:w="0" w:type="dxa"/>
              <w:left w:w="70" w:type="dxa"/>
              <w:bottom w:w="0" w:type="dxa"/>
              <w:right w:w="70" w:type="dxa"/>
            </w:tcMar>
          </w:tcPr>
          <w:p w:rsidR="009A4F1C" w:rsidRDefault="009A4F1C" w:rsidP="00AB5A95">
            <w:pPr>
              <w:snapToGrid w:val="0"/>
            </w:pPr>
            <w:r>
              <w:rPr>
                <w:sz w:val="22"/>
                <w:u w:val="single"/>
              </w:rPr>
              <w:t>Predkladá</w:t>
            </w:r>
            <w:r>
              <w:rPr>
                <w:sz w:val="22"/>
              </w:rPr>
              <w:t>:</w:t>
            </w:r>
          </w:p>
        </w:tc>
        <w:tc>
          <w:tcPr>
            <w:tcW w:w="4817" w:type="dxa"/>
            <w:vMerge w:val="restart"/>
            <w:shd w:val="clear" w:color="auto" w:fill="auto"/>
            <w:tcMar>
              <w:top w:w="0" w:type="dxa"/>
              <w:left w:w="70" w:type="dxa"/>
              <w:bottom w:w="0" w:type="dxa"/>
              <w:right w:w="70" w:type="dxa"/>
            </w:tcMar>
          </w:tcPr>
          <w:p w:rsidR="009A4F1C" w:rsidRDefault="009A4F1C" w:rsidP="00AB5A95">
            <w:pPr>
              <w:snapToGrid w:val="0"/>
            </w:pPr>
            <w:r>
              <w:rPr>
                <w:sz w:val="22"/>
                <w:u w:val="single"/>
              </w:rPr>
              <w:t>Návrh na uznesenie</w:t>
            </w:r>
            <w:r>
              <w:rPr>
                <w:sz w:val="22"/>
              </w:rPr>
              <w:t>:</w:t>
            </w:r>
          </w:p>
          <w:p w:rsidR="009A4F1C" w:rsidRDefault="009A4F1C" w:rsidP="00AB5A95">
            <w:pPr>
              <w:rPr>
                <w:sz w:val="22"/>
              </w:rPr>
            </w:pPr>
          </w:p>
          <w:p w:rsidR="009A4F1C" w:rsidRPr="00E87050" w:rsidRDefault="009A4F1C" w:rsidP="00014CCE">
            <w:pPr>
              <w:jc w:val="both"/>
              <w:rPr>
                <w:lang w:eastAsia="cs-CZ"/>
              </w:rPr>
            </w:pPr>
            <w:r>
              <w:rPr>
                <w:lang w:eastAsia="cs-CZ"/>
              </w:rPr>
              <w:t>OZ</w:t>
            </w:r>
            <w:r w:rsidRPr="00E87050">
              <w:rPr>
                <w:lang w:eastAsia="cs-CZ"/>
              </w:rPr>
              <w:t xml:space="preserve"> </w:t>
            </w:r>
            <w:r>
              <w:rPr>
                <w:lang w:eastAsia="cs-CZ"/>
              </w:rPr>
              <w:t>o</w:t>
            </w:r>
            <w:r w:rsidRPr="00E87050">
              <w:rPr>
                <w:lang w:eastAsia="cs-CZ"/>
              </w:rPr>
              <w:t>bce</w:t>
            </w:r>
            <w:r>
              <w:rPr>
                <w:lang w:eastAsia="cs-CZ"/>
              </w:rPr>
              <w:t xml:space="preserve"> Dvorníky</w:t>
            </w:r>
            <w:r w:rsidR="00F5679F">
              <w:rPr>
                <w:lang w:eastAsia="cs-CZ"/>
              </w:rPr>
              <w:t> v zmysle §16a Zákona č.  442/</w:t>
            </w:r>
            <w:r w:rsidR="00D621DC">
              <w:rPr>
                <w:lang w:eastAsia="cs-CZ"/>
              </w:rPr>
              <w:t>2002 o verejných vodovodoch a verejných kanalizáciách v </w:t>
            </w:r>
            <w:proofErr w:type="spellStart"/>
            <w:r w:rsidR="00D621DC">
              <w:rPr>
                <w:lang w:eastAsia="cs-CZ"/>
              </w:rPr>
              <w:t>z.n.p</w:t>
            </w:r>
            <w:proofErr w:type="spellEnd"/>
            <w:r w:rsidR="00D621DC">
              <w:rPr>
                <w:lang w:eastAsia="cs-CZ"/>
              </w:rPr>
              <w:t>.</w:t>
            </w:r>
          </w:p>
          <w:p w:rsidR="009A4F1C" w:rsidRDefault="00014CCE" w:rsidP="00014CCE">
            <w:pPr>
              <w:jc w:val="both"/>
              <w:rPr>
                <w:b/>
                <w:lang w:eastAsia="cs-CZ"/>
              </w:rPr>
            </w:pPr>
            <w:r>
              <w:rPr>
                <w:b/>
                <w:lang w:eastAsia="cs-CZ"/>
              </w:rPr>
              <w:t>berie na vedomie</w:t>
            </w:r>
          </w:p>
          <w:p w:rsidR="00D621DC" w:rsidRDefault="00D621DC" w:rsidP="00014CCE">
            <w:pPr>
              <w:jc w:val="both"/>
              <w:rPr>
                <w:bCs/>
              </w:rPr>
            </w:pPr>
            <w:r w:rsidRPr="00D621DC">
              <w:rPr>
                <w:bCs/>
                <w:lang w:eastAsia="cs-CZ"/>
              </w:rPr>
              <w:t xml:space="preserve">tvorbu </w:t>
            </w:r>
            <w:r w:rsidR="00014CCE">
              <w:rPr>
                <w:bCs/>
              </w:rPr>
              <w:t>účelovej rezervy</w:t>
            </w:r>
            <w:r w:rsidRPr="00D621DC">
              <w:rPr>
                <w:bCs/>
              </w:rPr>
              <w:t xml:space="preserve"> na vodovod a</w:t>
            </w:r>
            <w:r>
              <w:rPr>
                <w:bCs/>
              </w:rPr>
              <w:t xml:space="preserve"> tvorbu </w:t>
            </w:r>
            <w:r w:rsidR="00014CCE">
              <w:rPr>
                <w:bCs/>
              </w:rPr>
              <w:t>účelovej rezervy na kanalizáciu vo výške ročných odpisov.</w:t>
            </w:r>
          </w:p>
          <w:p w:rsidR="00D621DC" w:rsidRDefault="00D621DC" w:rsidP="00AB5A95">
            <w:pPr>
              <w:rPr>
                <w:bCs/>
              </w:rPr>
            </w:pPr>
          </w:p>
          <w:p w:rsidR="00E85D98" w:rsidRDefault="00E85D98" w:rsidP="00E85D98">
            <w:pPr>
              <w:pStyle w:val="Odsekzoznamu"/>
              <w:rPr>
                <w:bCs/>
                <w:lang w:eastAsia="cs-CZ"/>
              </w:rPr>
            </w:pPr>
          </w:p>
          <w:p w:rsidR="00E85D98" w:rsidRPr="00D621DC" w:rsidRDefault="00E85D98" w:rsidP="00E85D98">
            <w:pPr>
              <w:pStyle w:val="Odsekzoznamu"/>
              <w:rPr>
                <w:bCs/>
                <w:lang w:eastAsia="cs-CZ"/>
              </w:rPr>
            </w:pPr>
          </w:p>
          <w:p w:rsidR="009A4F1C" w:rsidRDefault="00014CCE" w:rsidP="00F5679F">
            <w:r>
              <w:t xml:space="preserve"> </w:t>
            </w:r>
          </w:p>
        </w:tc>
      </w:tr>
      <w:tr w:rsidR="009A4F1C" w:rsidTr="00F5679F">
        <w:trPr>
          <w:cantSplit/>
        </w:trPr>
        <w:tc>
          <w:tcPr>
            <w:tcW w:w="4395" w:type="dxa"/>
            <w:shd w:val="clear" w:color="auto" w:fill="auto"/>
            <w:tcMar>
              <w:top w:w="0" w:type="dxa"/>
              <w:left w:w="70" w:type="dxa"/>
              <w:bottom w:w="0" w:type="dxa"/>
              <w:right w:w="70" w:type="dxa"/>
            </w:tcMar>
          </w:tcPr>
          <w:p w:rsidR="009A4F1C" w:rsidRDefault="009A4F1C" w:rsidP="00AB5A95">
            <w:pPr>
              <w:snapToGrid w:val="0"/>
              <w:rPr>
                <w:sz w:val="22"/>
              </w:rPr>
            </w:pPr>
          </w:p>
          <w:p w:rsidR="009A4F1C" w:rsidRDefault="009A4F1C" w:rsidP="00AB5A95">
            <w:pPr>
              <w:rPr>
                <w:sz w:val="22"/>
              </w:rPr>
            </w:pPr>
            <w:r>
              <w:rPr>
                <w:sz w:val="22"/>
              </w:rPr>
              <w:t xml:space="preserve">Maroš </w:t>
            </w:r>
            <w:proofErr w:type="spellStart"/>
            <w:r>
              <w:rPr>
                <w:sz w:val="22"/>
              </w:rPr>
              <w:t>Nemeček</w:t>
            </w:r>
            <w:proofErr w:type="spellEnd"/>
          </w:p>
          <w:p w:rsidR="009A4F1C" w:rsidRDefault="009A4F1C" w:rsidP="00AB5A95">
            <w:pPr>
              <w:rPr>
                <w:sz w:val="22"/>
              </w:rPr>
            </w:pPr>
            <w:r>
              <w:rPr>
                <w:sz w:val="22"/>
              </w:rPr>
              <w:t>Starosta Obce Dvorníky</w:t>
            </w: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Height w:val="426"/>
        </w:trPr>
        <w:tc>
          <w:tcPr>
            <w:tcW w:w="4395" w:type="dxa"/>
            <w:shd w:val="clear" w:color="auto" w:fill="auto"/>
            <w:tcMar>
              <w:top w:w="0" w:type="dxa"/>
              <w:left w:w="70" w:type="dxa"/>
              <w:bottom w:w="0" w:type="dxa"/>
              <w:right w:w="70" w:type="dxa"/>
            </w:tcMar>
          </w:tcPr>
          <w:p w:rsidR="009A4F1C" w:rsidRDefault="009A4F1C" w:rsidP="00AB5A95">
            <w:pPr>
              <w:snapToGrid w:val="0"/>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Pr>
        <w:tc>
          <w:tcPr>
            <w:tcW w:w="4395" w:type="dxa"/>
            <w:shd w:val="clear" w:color="auto" w:fill="auto"/>
            <w:tcMar>
              <w:top w:w="0" w:type="dxa"/>
              <w:left w:w="70" w:type="dxa"/>
              <w:bottom w:w="0" w:type="dxa"/>
              <w:right w:w="70" w:type="dxa"/>
            </w:tcMar>
          </w:tcPr>
          <w:p w:rsidR="009A4F1C" w:rsidRDefault="009A4F1C" w:rsidP="00AB5A95">
            <w:pPr>
              <w:snapToGrid w:val="0"/>
              <w:rPr>
                <w:sz w:val="22"/>
              </w:rPr>
            </w:pPr>
          </w:p>
          <w:p w:rsidR="009A4F1C" w:rsidRDefault="009A4F1C" w:rsidP="00AB5A95">
            <w:pPr>
              <w:rPr>
                <w:sz w:val="22"/>
              </w:rPr>
            </w:pPr>
          </w:p>
          <w:p w:rsidR="009A4F1C" w:rsidRDefault="00F5679F" w:rsidP="00AB5A95">
            <w:pPr>
              <w:rPr>
                <w:sz w:val="22"/>
              </w:rPr>
            </w:pPr>
            <w:r>
              <w:rPr>
                <w:sz w:val="22"/>
              </w:rPr>
              <w:t xml:space="preserve">                       </w:t>
            </w:r>
          </w:p>
          <w:p w:rsidR="009A4F1C" w:rsidRDefault="009A4F1C" w:rsidP="00AB5A95">
            <w:pPr>
              <w:rPr>
                <w:sz w:val="22"/>
              </w:rPr>
            </w:pPr>
          </w:p>
          <w:p w:rsidR="009A4F1C" w:rsidRDefault="009A4F1C" w:rsidP="00AB5A95">
            <w:pPr>
              <w:rPr>
                <w:sz w:val="22"/>
              </w:rPr>
            </w:pPr>
          </w:p>
          <w:p w:rsidR="009A4F1C" w:rsidRDefault="009A4F1C" w:rsidP="00AB5A95">
            <w:pPr>
              <w:rPr>
                <w:sz w:val="22"/>
              </w:rPr>
            </w:pPr>
          </w:p>
          <w:p w:rsidR="009A4F1C" w:rsidRDefault="009A4F1C" w:rsidP="00AB5A95">
            <w:pPr>
              <w:rPr>
                <w:sz w:val="22"/>
              </w:rPr>
            </w:pPr>
          </w:p>
          <w:p w:rsidR="009A4F1C" w:rsidRDefault="009A4F1C" w:rsidP="00AB5A95">
            <w:pPr>
              <w:rPr>
                <w:sz w:val="22"/>
              </w:rPr>
            </w:pPr>
          </w:p>
          <w:p w:rsidR="009A4F1C" w:rsidRDefault="009A4F1C" w:rsidP="00AB5A95">
            <w:pPr>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Height w:val="276"/>
        </w:trPr>
        <w:tc>
          <w:tcPr>
            <w:tcW w:w="4395" w:type="dxa"/>
            <w:vMerge w:val="restart"/>
            <w:shd w:val="clear" w:color="auto" w:fill="auto"/>
            <w:tcMar>
              <w:top w:w="0" w:type="dxa"/>
              <w:left w:w="70" w:type="dxa"/>
              <w:bottom w:w="0" w:type="dxa"/>
              <w:right w:w="70" w:type="dxa"/>
            </w:tcMar>
          </w:tcPr>
          <w:p w:rsidR="009A4F1C" w:rsidRDefault="009A4F1C" w:rsidP="00AB5A95">
            <w:pPr>
              <w:snapToGrid w:val="0"/>
              <w:rPr>
                <w:sz w:val="22"/>
                <w:u w:val="single"/>
              </w:rPr>
            </w:pPr>
            <w:r>
              <w:rPr>
                <w:sz w:val="22"/>
                <w:u w:val="single"/>
              </w:rPr>
              <w:t>Vypracovala: Ing. Eva Kmeťová</w:t>
            </w:r>
          </w:p>
          <w:p w:rsidR="009A4F1C" w:rsidRDefault="009A4F1C" w:rsidP="00AB5A95">
            <w:pPr>
              <w:rPr>
                <w:sz w:val="22"/>
              </w:rPr>
            </w:pPr>
          </w:p>
          <w:p w:rsidR="009A4F1C" w:rsidRDefault="009A4F1C" w:rsidP="00AB5A95">
            <w:pPr>
              <w:rPr>
                <w:sz w:val="22"/>
              </w:rPr>
            </w:pPr>
          </w:p>
          <w:p w:rsidR="009A4F1C" w:rsidRDefault="009A4F1C" w:rsidP="00AB5A95">
            <w:pPr>
              <w:rPr>
                <w:sz w:val="22"/>
              </w:rPr>
            </w:pPr>
          </w:p>
          <w:p w:rsidR="009A4F1C" w:rsidRDefault="009A4F1C" w:rsidP="00AB5A95">
            <w:pPr>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Height w:val="276"/>
        </w:trPr>
        <w:tc>
          <w:tcPr>
            <w:tcW w:w="4395" w:type="dxa"/>
            <w:vMerge/>
            <w:shd w:val="clear" w:color="auto" w:fill="auto"/>
            <w:tcMar>
              <w:top w:w="0" w:type="dxa"/>
              <w:left w:w="70" w:type="dxa"/>
              <w:bottom w:w="0" w:type="dxa"/>
              <w:right w:w="70" w:type="dxa"/>
            </w:tcMar>
          </w:tcPr>
          <w:p w:rsidR="009A4F1C" w:rsidRDefault="009A4F1C" w:rsidP="00AB5A95">
            <w:pPr>
              <w:snapToGrid w:val="0"/>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Height w:val="276"/>
        </w:trPr>
        <w:tc>
          <w:tcPr>
            <w:tcW w:w="4395" w:type="dxa"/>
            <w:vMerge/>
            <w:shd w:val="clear" w:color="auto" w:fill="auto"/>
            <w:tcMar>
              <w:top w:w="0" w:type="dxa"/>
              <w:left w:w="70" w:type="dxa"/>
              <w:bottom w:w="0" w:type="dxa"/>
              <w:right w:w="70" w:type="dxa"/>
            </w:tcMar>
          </w:tcPr>
          <w:p w:rsidR="009A4F1C" w:rsidRDefault="009A4F1C" w:rsidP="00AB5A95">
            <w:pPr>
              <w:snapToGrid w:val="0"/>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Height w:val="390"/>
        </w:trPr>
        <w:tc>
          <w:tcPr>
            <w:tcW w:w="4395" w:type="dxa"/>
            <w:shd w:val="clear" w:color="auto" w:fill="auto"/>
            <w:tcMar>
              <w:top w:w="0" w:type="dxa"/>
              <w:left w:w="70" w:type="dxa"/>
              <w:bottom w:w="0" w:type="dxa"/>
              <w:right w:w="70" w:type="dxa"/>
            </w:tcMar>
          </w:tcPr>
          <w:p w:rsidR="009A4F1C" w:rsidRDefault="009A4F1C" w:rsidP="00AB5A95">
            <w:pPr>
              <w:snapToGrid w:val="0"/>
              <w:rPr>
                <w:sz w:val="22"/>
                <w:u w:val="single"/>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Height w:val="362"/>
        </w:trPr>
        <w:tc>
          <w:tcPr>
            <w:tcW w:w="4395" w:type="dxa"/>
            <w:shd w:val="clear" w:color="auto" w:fill="auto"/>
            <w:tcMar>
              <w:top w:w="0" w:type="dxa"/>
              <w:left w:w="70" w:type="dxa"/>
              <w:bottom w:w="0" w:type="dxa"/>
              <w:right w:w="70" w:type="dxa"/>
            </w:tcMar>
          </w:tcPr>
          <w:p w:rsidR="009A4F1C" w:rsidRDefault="009A4F1C" w:rsidP="00AB5A95">
            <w:pPr>
              <w:snapToGrid w:val="0"/>
              <w:rPr>
                <w:sz w:val="22"/>
                <w:u w:val="single"/>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Pr>
        <w:tc>
          <w:tcPr>
            <w:tcW w:w="4395" w:type="dxa"/>
            <w:shd w:val="clear" w:color="auto" w:fill="auto"/>
            <w:tcMar>
              <w:top w:w="0" w:type="dxa"/>
              <w:left w:w="70" w:type="dxa"/>
              <w:bottom w:w="0" w:type="dxa"/>
              <w:right w:w="70" w:type="dxa"/>
            </w:tcMar>
          </w:tcPr>
          <w:p w:rsidR="009A4F1C" w:rsidRDefault="009A4F1C" w:rsidP="00AB5A95">
            <w:pPr>
              <w:snapToGrid w:val="0"/>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Pr>
        <w:tc>
          <w:tcPr>
            <w:tcW w:w="4395" w:type="dxa"/>
            <w:shd w:val="clear" w:color="auto" w:fill="auto"/>
            <w:tcMar>
              <w:top w:w="0" w:type="dxa"/>
              <w:left w:w="70" w:type="dxa"/>
              <w:bottom w:w="0" w:type="dxa"/>
              <w:right w:w="70" w:type="dxa"/>
            </w:tcMar>
          </w:tcPr>
          <w:p w:rsidR="009A4F1C" w:rsidRDefault="009A4F1C" w:rsidP="00AB5A95">
            <w:pPr>
              <w:snapToGrid w:val="0"/>
              <w:rPr>
                <w:sz w:val="22"/>
              </w:rPr>
            </w:pPr>
          </w:p>
        </w:tc>
        <w:tc>
          <w:tcPr>
            <w:tcW w:w="4817" w:type="dxa"/>
            <w:vMerge/>
            <w:shd w:val="clear" w:color="auto" w:fill="auto"/>
            <w:tcMar>
              <w:top w:w="0" w:type="dxa"/>
              <w:left w:w="70" w:type="dxa"/>
              <w:bottom w:w="0" w:type="dxa"/>
              <w:right w:w="70" w:type="dxa"/>
            </w:tcMar>
          </w:tcPr>
          <w:p w:rsidR="009A4F1C" w:rsidRDefault="009A4F1C" w:rsidP="00AB5A95">
            <w:pPr>
              <w:snapToGrid w:val="0"/>
              <w:jc w:val="both"/>
            </w:pPr>
          </w:p>
        </w:tc>
      </w:tr>
      <w:tr w:rsidR="009A4F1C" w:rsidTr="00F5679F">
        <w:trPr>
          <w:cantSplit/>
        </w:trPr>
        <w:tc>
          <w:tcPr>
            <w:tcW w:w="4395" w:type="dxa"/>
            <w:shd w:val="clear" w:color="auto" w:fill="auto"/>
            <w:tcMar>
              <w:top w:w="0" w:type="dxa"/>
              <w:left w:w="70" w:type="dxa"/>
              <w:bottom w:w="0" w:type="dxa"/>
              <w:right w:w="70" w:type="dxa"/>
            </w:tcMar>
          </w:tcPr>
          <w:p w:rsidR="009A4F1C" w:rsidRDefault="009A4F1C" w:rsidP="00AB5A95">
            <w:pPr>
              <w:snapToGrid w:val="0"/>
            </w:pPr>
          </w:p>
        </w:tc>
        <w:tc>
          <w:tcPr>
            <w:tcW w:w="4817" w:type="dxa"/>
            <w:vMerge/>
            <w:shd w:val="clear" w:color="auto" w:fill="auto"/>
            <w:tcMar>
              <w:top w:w="0" w:type="dxa"/>
              <w:left w:w="70" w:type="dxa"/>
              <w:bottom w:w="0" w:type="dxa"/>
              <w:right w:w="70" w:type="dxa"/>
            </w:tcMar>
          </w:tcPr>
          <w:p w:rsidR="009A4F1C" w:rsidRDefault="009A4F1C" w:rsidP="00AB5A95">
            <w:pPr>
              <w:snapToGrid w:val="0"/>
            </w:pPr>
          </w:p>
        </w:tc>
      </w:tr>
    </w:tbl>
    <w:p w:rsidR="009A4F1C" w:rsidRDefault="009A4F1C" w:rsidP="009A4F1C"/>
    <w:p w:rsidR="009A4F1C" w:rsidRDefault="009A4F1C" w:rsidP="009A4F1C"/>
    <w:p w:rsidR="009A4F1C" w:rsidRDefault="009A4F1C" w:rsidP="009A4F1C"/>
    <w:p w:rsidR="009A4F1C" w:rsidRDefault="009A4F1C" w:rsidP="009A4F1C"/>
    <w:p w:rsidR="009A4F1C" w:rsidRDefault="009A4F1C" w:rsidP="009A4F1C"/>
    <w:p w:rsidR="009A4F1C" w:rsidRDefault="009A4F1C" w:rsidP="009A4F1C"/>
    <w:p w:rsidR="003C3D47" w:rsidRDefault="003C3D47" w:rsidP="009A4F1C"/>
    <w:p w:rsidR="00014CCE" w:rsidRDefault="00014CCE" w:rsidP="009A4F1C"/>
    <w:p w:rsidR="00014CCE" w:rsidRDefault="00014CCE" w:rsidP="009A4F1C"/>
    <w:p w:rsidR="003C3D47" w:rsidRDefault="00E85D98" w:rsidP="00E85D98">
      <w:pPr>
        <w:jc w:val="center"/>
        <w:rPr>
          <w:b/>
          <w:bCs/>
          <w:sz w:val="28"/>
          <w:szCs w:val="28"/>
        </w:rPr>
      </w:pPr>
      <w:r w:rsidRPr="00E85D98">
        <w:rPr>
          <w:b/>
          <w:bCs/>
          <w:sz w:val="28"/>
          <w:szCs w:val="28"/>
        </w:rPr>
        <w:lastRenderedPageBreak/>
        <w:t>Dôvodová správa.</w:t>
      </w:r>
    </w:p>
    <w:p w:rsidR="002B2637" w:rsidRDefault="00E85D98" w:rsidP="002B2637">
      <w:pPr>
        <w:spacing w:before="100" w:beforeAutospacing="1" w:after="100" w:afterAutospacing="1"/>
        <w:outlineLvl w:val="0"/>
      </w:pPr>
      <w:r>
        <w:t xml:space="preserve">Obec, ako vlastník verejného vodovodu </w:t>
      </w:r>
      <w:r w:rsidR="008D133A">
        <w:t xml:space="preserve">a verejnej kanalizácie, je v zmysle §16a Zákona č. 442/2002 </w:t>
      </w:r>
      <w:bookmarkStart w:id="1" w:name="_Hlk153193627"/>
      <w:r w:rsidR="008D133A">
        <w:t>o verejných vodovodoch a verejných kanalizáciách</w:t>
      </w:r>
      <w:bookmarkEnd w:id="1"/>
      <w:r w:rsidR="008D133A">
        <w:t xml:space="preserve"> a o zmene a doplnení zákona č. 276/2001 o regulácii v sieťových odvetviach tvoriť účelovú finančnú rezervu na vodovod a kanalizáciu </w:t>
      </w:r>
      <w:r w:rsidR="008D133A" w:rsidRPr="003C3D47">
        <w:t>vo výške ročných odpisov</w:t>
      </w:r>
      <w:r w:rsidR="008D133A">
        <w:t xml:space="preserve">.  </w:t>
      </w:r>
      <w:r w:rsidR="002B2637">
        <w:t>Ročný odpis kanalizácie</w:t>
      </w:r>
      <w:r w:rsidR="00274934">
        <w:t xml:space="preserve"> je 15 927€ a vodovodu je  2834€.</w:t>
      </w:r>
    </w:p>
    <w:p w:rsidR="002B2637" w:rsidRPr="00014CCE" w:rsidRDefault="00274934" w:rsidP="00014CCE">
      <w:pPr>
        <w:spacing w:before="100" w:beforeAutospacing="1" w:after="100" w:afterAutospacing="1"/>
        <w:outlineLvl w:val="0"/>
      </w:pPr>
      <w:r>
        <w:t>Celé znenie §1</w:t>
      </w:r>
      <w:r w:rsidR="00014CCE">
        <w:t>6a je prílohou dôvodovej správy</w:t>
      </w:r>
    </w:p>
    <w:p w:rsidR="009A4F1C" w:rsidRDefault="002B2637" w:rsidP="001A270F">
      <w:pPr>
        <w:spacing w:line="360" w:lineRule="auto"/>
        <w:jc w:val="center"/>
        <w:rPr>
          <w:b/>
          <w:bCs/>
        </w:rPr>
      </w:pPr>
      <w:r>
        <w:rPr>
          <w:b/>
          <w:bCs/>
        </w:rPr>
        <w:t>Príloha</w:t>
      </w:r>
    </w:p>
    <w:p w:rsidR="002B2637" w:rsidRPr="002B2637" w:rsidRDefault="002B2637" w:rsidP="002B2637">
      <w:pPr>
        <w:spacing w:line="360" w:lineRule="auto"/>
      </w:pPr>
      <w:r w:rsidRPr="002B2637">
        <w:t>Zákon 442/2002 o verejných vodovodoch a verejných kanalizáciách</w:t>
      </w:r>
    </w:p>
    <w:tbl>
      <w:tblPr>
        <w:tblW w:w="0" w:type="auto"/>
        <w:tblCellSpacing w:w="15" w:type="dxa"/>
        <w:tblCellMar>
          <w:top w:w="15" w:type="dxa"/>
          <w:left w:w="15" w:type="dxa"/>
          <w:bottom w:w="15" w:type="dxa"/>
          <w:right w:w="15" w:type="dxa"/>
        </w:tblCellMar>
        <w:tblLook w:val="04A0"/>
      </w:tblPr>
      <w:tblGrid>
        <w:gridCol w:w="464"/>
        <w:gridCol w:w="8698"/>
      </w:tblGrid>
      <w:tr w:rsidR="003C3D47" w:rsidRPr="003C3D47" w:rsidTr="003C3D47">
        <w:trPr>
          <w:gridAfter w:val="1"/>
          <w:tblCellSpacing w:w="15" w:type="dxa"/>
        </w:trPr>
        <w:tc>
          <w:tcPr>
            <w:tcW w:w="0" w:type="auto"/>
            <w:vAlign w:val="center"/>
            <w:hideMark/>
          </w:tcPr>
          <w:p w:rsidR="003C3D47" w:rsidRPr="003C3D47" w:rsidRDefault="003C3D47" w:rsidP="003C3D47">
            <w:pPr>
              <w:spacing w:before="100" w:beforeAutospacing="1" w:after="100" w:afterAutospacing="1"/>
            </w:pPr>
            <w:r w:rsidRPr="003C3D47">
              <w:t>§ 16a</w:t>
            </w:r>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outlineLvl w:val="2"/>
              <w:rPr>
                <w:b/>
                <w:bCs/>
                <w:sz w:val="27"/>
                <w:szCs w:val="27"/>
              </w:rPr>
            </w:pPr>
            <w:r w:rsidRPr="003C3D47">
              <w:rPr>
                <w:b/>
                <w:bCs/>
                <w:sz w:val="27"/>
                <w:szCs w:val="27"/>
              </w:rPr>
              <w:t>Účelová finančná rezerva</w:t>
            </w:r>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pPr>
            <w:r w:rsidRPr="003C3D47">
              <w:rPr>
                <w:i/>
                <w:iCs/>
              </w:rPr>
              <w:t>(1)</w:t>
            </w:r>
            <w:r w:rsidRPr="003C3D47">
              <w:t xml:space="preserve"> </w:t>
            </w:r>
            <w:r w:rsidRPr="00014CCE">
              <w:rPr>
                <w:highlight w:val="yellow"/>
              </w:rPr>
              <w:t>Vlastník verejného vodovodu alebo vlastník verejnej kanalizácie je povinný vytvárať účelovú finančnú rezervu</w:t>
            </w:r>
            <w:r w:rsidRPr="003C3D47">
              <w:t xml:space="preserve"> spôsobom podľa odsekov 2 a 3, ktorej prostriedky je povinný použiť </w:t>
            </w:r>
            <w:r w:rsidRPr="008A22BE">
              <w:rPr>
                <w:highlight w:val="yellow"/>
              </w:rPr>
              <w:t>na</w:t>
            </w:r>
            <w:r w:rsidRPr="003C3D47">
              <w:t xml:space="preserve"> </w:t>
            </w:r>
            <w:r w:rsidRPr="008A22BE">
              <w:rPr>
                <w:highlight w:val="yellow"/>
              </w:rPr>
              <w:t>obnovu verejného vodovodu</w:t>
            </w:r>
            <w:r w:rsidRPr="003C3D47">
              <w:t xml:space="preserve"> </w:t>
            </w:r>
            <w:r w:rsidRPr="008A22BE">
              <w:rPr>
                <w:highlight w:val="yellow"/>
              </w:rPr>
              <w:t>alebo verejnej kanalizácie</w:t>
            </w:r>
            <w:r w:rsidRPr="003C3D47">
              <w:t xml:space="preserve"> podľa plánu obnovy verejného vodovodu alebo verejnej kanalizácie.</w:t>
            </w:r>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pPr>
            <w:r w:rsidRPr="003C3D47">
              <w:rPr>
                <w:i/>
                <w:iCs/>
              </w:rPr>
              <w:t>(2)</w:t>
            </w:r>
            <w:r w:rsidRPr="003C3D47">
              <w:t xml:space="preserve"> </w:t>
            </w:r>
            <w:r w:rsidRPr="00014CCE">
              <w:rPr>
                <w:highlight w:val="yellow"/>
              </w:rPr>
              <w:t>Účelovú finančnú rezervu vytvára vlastník verejného vodovodu ročne vo výške ročných odpisov</w:t>
            </w:r>
            <w:r w:rsidRPr="003C3D47">
              <w:t xml:space="preserve"> alebo z nájomného za verejný vodovod ako ekonomicky oprávnený náklad, ak sú odpisy alebo nájomné zahrnuté v cene za dodávku pitnej vody schválenej alebo určenej podľa osobitných predpisov.</w:t>
            </w:r>
            <w:hyperlink r:id="rId8" w:anchor="f5450428" w:history="1">
              <w:r w:rsidRPr="003C3D47">
                <w:rPr>
                  <w:color w:val="0000FF"/>
                  <w:u w:val="single"/>
                  <w:vertAlign w:val="superscript"/>
                </w:rPr>
                <w:t>8f</w:t>
              </w:r>
              <w:r w:rsidRPr="003C3D47">
                <w:rPr>
                  <w:color w:val="0000FF"/>
                  <w:u w:val="single"/>
                </w:rPr>
                <w:t>)</w:t>
              </w:r>
            </w:hyperlink>
            <w:r w:rsidRPr="003C3D47">
              <w:t xml:space="preserve"> Účelovú finančnú rezervu vytvára vlastník verejnej kanalizácie ročne vo výške ročných odpisov alebo z nájomného za verejnú kanalizáciu ako ekonomicky oprávnený náklad, ak sú odpisy alebo nájomné zahrnuté v cene za odvádzanie a čistenie odpadovej vody schválenej alebo určenej podľa osobitných predpisov.</w:t>
            </w:r>
            <w:hyperlink r:id="rId9" w:anchor="f5450429" w:history="1">
              <w:r w:rsidRPr="003C3D47">
                <w:rPr>
                  <w:color w:val="0000FF"/>
                  <w:u w:val="single"/>
                  <w:vertAlign w:val="superscript"/>
                </w:rPr>
                <w:t>8g</w:t>
              </w:r>
              <w:r w:rsidRPr="003C3D47">
                <w:rPr>
                  <w:color w:val="0000FF"/>
                  <w:u w:val="single"/>
                </w:rPr>
                <w:t>)</w:t>
              </w:r>
            </w:hyperlink>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pPr>
            <w:r w:rsidRPr="003C3D47">
              <w:rPr>
                <w:i/>
                <w:iCs/>
              </w:rPr>
              <w:t>(3)</w:t>
            </w:r>
            <w:r w:rsidRPr="003C3D47">
              <w:t xml:space="preserve"> </w:t>
            </w:r>
            <w:r w:rsidRPr="00014CCE">
              <w:rPr>
                <w:highlight w:val="yellow"/>
              </w:rPr>
              <w:t>Vlastník verejného vodovodu alebo vlastník verejnej kanalizácie je povinný použiť účelovú finančnú rezervu alebo jej časť na obnovu verejného vodovodu alebo verejnej kanalizácie podľa plánu obnovy do uplynutia troch rokov odo dňa jej vytvorenia</w:t>
            </w:r>
            <w:r w:rsidRPr="003C3D47">
              <w:t xml:space="preserve"> a ak ide o verejný vodovod alebo verejnú kanalizáciu skolaudované po 1. januári 2022, do šiestich rokov odo dňa ich vytvorenia.</w:t>
            </w:r>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pPr>
            <w:r w:rsidRPr="003C3D47">
              <w:rPr>
                <w:i/>
                <w:iCs/>
              </w:rPr>
              <w:t>(4)</w:t>
            </w:r>
            <w:r w:rsidRPr="003C3D47">
              <w:t xml:space="preserve"> Ak dôjde pred použitím účelovej finančnej rezervy k zániku vlastníka verejného vodovodu alebo vlastníka verejnej kanalizácie bez právneho nástupcu, prechádzajú ku dňu jeho zániku všetky práva a povinnosti súvisiace s použitím účelovej finančnej rezervy na obec, na ktorej území sa verejný vodovod alebo verejná kanalizácia nachádza. V takom prípade obec použije účelovú finančnú rezervu do troch rokov odo dňa nadobudnutia alebo prevzatia oprávnenia na disponovanie s účelovou finančnou rezervou.</w:t>
            </w:r>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pPr>
            <w:r w:rsidRPr="003C3D47">
              <w:rPr>
                <w:i/>
                <w:iCs/>
              </w:rPr>
              <w:t>(5)</w:t>
            </w:r>
            <w:r w:rsidRPr="003C3D47">
              <w:t xml:space="preserve"> Prostriedky účelovej finančnej rezervy nepodliehajú exekúcii a výkonu rozhodnutia.</w:t>
            </w:r>
          </w:p>
        </w:tc>
      </w:tr>
      <w:tr w:rsidR="003C3D47" w:rsidRPr="003C3D47" w:rsidTr="003C3D47">
        <w:trPr>
          <w:tblCellSpacing w:w="15" w:type="dxa"/>
        </w:trPr>
        <w:tc>
          <w:tcPr>
            <w:tcW w:w="0" w:type="auto"/>
            <w:vAlign w:val="center"/>
            <w:hideMark/>
          </w:tcPr>
          <w:p w:rsidR="003C3D47" w:rsidRPr="003C3D47" w:rsidRDefault="003C3D47" w:rsidP="003C3D47"/>
        </w:tc>
        <w:tc>
          <w:tcPr>
            <w:tcW w:w="0" w:type="auto"/>
            <w:vAlign w:val="center"/>
            <w:hideMark/>
          </w:tcPr>
          <w:p w:rsidR="003C3D47" w:rsidRPr="003C3D47" w:rsidRDefault="003C3D47" w:rsidP="003C3D47">
            <w:pPr>
              <w:spacing w:before="100" w:beforeAutospacing="1" w:after="100" w:afterAutospacing="1"/>
            </w:pPr>
            <w:r w:rsidRPr="003C3D47">
              <w:rPr>
                <w:i/>
                <w:iCs/>
              </w:rPr>
              <w:t>(6)</w:t>
            </w:r>
            <w:r w:rsidRPr="003C3D47">
              <w:t xml:space="preserve"> </w:t>
            </w:r>
            <w:r w:rsidRPr="00014CCE">
              <w:rPr>
                <w:highlight w:val="yellow"/>
              </w:rPr>
              <w:t>Vlastník verejného vodovodu alebo vlastník verejnej kanalizácie je povinný raz ročne do 31. júla za predchádzajúci rok písomne oznámiť ministerstvu informácie o tvorbe a použití účelovej finančnej rezervy</w:t>
            </w:r>
            <w:r w:rsidRPr="003C3D47">
              <w:t xml:space="preserve"> formou ustanovenou vo všeobecne záväznom právnom predpise podľa § 15 ods. 8 a § 16 ods. 9 a umožniť orgánom dohľadu kontrolu správnosti jej tvorby a použitia ustanovené týmto zákonom. Vlastník verejného vodovodu a vlastník verejnej kanalizácie splní povinnosti podľa predchádzajúcej vety prvýkrát do 31. júla 2023 za kalendárny rok 2022.</w:t>
            </w:r>
          </w:p>
        </w:tc>
      </w:tr>
    </w:tbl>
    <w:p w:rsidR="00467FB0" w:rsidRPr="00467FB0" w:rsidRDefault="00467FB0" w:rsidP="00467FB0">
      <w:pPr>
        <w:jc w:val="both"/>
      </w:pPr>
    </w:p>
    <w:sectPr w:rsidR="00467FB0" w:rsidRPr="00467FB0" w:rsidSect="00DB40EF">
      <w:footerReference w:type="default" r:id="rId10"/>
      <w:pgSz w:w="11906" w:h="16838"/>
      <w:pgMar w:top="1099" w:right="1417" w:bottom="426" w:left="1417" w:header="708" w:footer="2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BD" w:rsidRDefault="009E3DBD">
      <w:r>
        <w:separator/>
      </w:r>
    </w:p>
  </w:endnote>
  <w:endnote w:type="continuationSeparator" w:id="0">
    <w:p w:rsidR="009E3DBD" w:rsidRDefault="009E3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EF" w:rsidRDefault="00C66B6D">
    <w:pPr>
      <w:pStyle w:val="Pta"/>
      <w:jc w:val="right"/>
    </w:pPr>
    <w:r>
      <w:fldChar w:fldCharType="begin"/>
    </w:r>
    <w:r w:rsidR="00681E80">
      <w:instrText xml:space="preserve"> PAGE   \* MERGEFORMAT </w:instrText>
    </w:r>
    <w:r>
      <w:fldChar w:fldCharType="separate"/>
    </w:r>
    <w:r w:rsidR="008A22BE">
      <w:rPr>
        <w:noProof/>
      </w:rPr>
      <w:t>2</w:t>
    </w:r>
    <w:r>
      <w:rPr>
        <w:noProof/>
      </w:rPr>
      <w:fldChar w:fldCharType="end"/>
    </w:r>
  </w:p>
  <w:p w:rsidR="00DB40EF" w:rsidRDefault="00DB40E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BD" w:rsidRDefault="009E3DBD">
      <w:r>
        <w:separator/>
      </w:r>
    </w:p>
  </w:footnote>
  <w:footnote w:type="continuationSeparator" w:id="0">
    <w:p w:rsidR="009E3DBD" w:rsidRDefault="009E3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33E1874"/>
    <w:multiLevelType w:val="hybridMultilevel"/>
    <w:tmpl w:val="20B66BA0"/>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7D22726"/>
    <w:multiLevelType w:val="hybridMultilevel"/>
    <w:tmpl w:val="85AA6BAC"/>
    <w:lvl w:ilvl="0" w:tplc="2186958C">
      <w:start w:val="2"/>
      <w:numFmt w:val="bullet"/>
      <w:lvlText w:val="-"/>
      <w:lvlJc w:val="left"/>
      <w:pPr>
        <w:ind w:left="2912" w:hanging="360"/>
      </w:pPr>
      <w:rPr>
        <w:rFonts w:ascii="Times New Roman" w:eastAsia="Times New Roman" w:hAnsi="Times New Roman" w:cs="Times New Roman" w:hint="default"/>
      </w:rPr>
    </w:lvl>
    <w:lvl w:ilvl="1" w:tplc="041B0003" w:tentative="1">
      <w:start w:val="1"/>
      <w:numFmt w:val="bullet"/>
      <w:lvlText w:val="o"/>
      <w:lvlJc w:val="left"/>
      <w:pPr>
        <w:ind w:left="3632" w:hanging="360"/>
      </w:pPr>
      <w:rPr>
        <w:rFonts w:ascii="Courier New" w:hAnsi="Courier New" w:cs="Courier New" w:hint="default"/>
      </w:rPr>
    </w:lvl>
    <w:lvl w:ilvl="2" w:tplc="041B0005" w:tentative="1">
      <w:start w:val="1"/>
      <w:numFmt w:val="bullet"/>
      <w:lvlText w:val=""/>
      <w:lvlJc w:val="left"/>
      <w:pPr>
        <w:ind w:left="4352" w:hanging="360"/>
      </w:pPr>
      <w:rPr>
        <w:rFonts w:ascii="Wingdings" w:hAnsi="Wingdings" w:hint="default"/>
      </w:rPr>
    </w:lvl>
    <w:lvl w:ilvl="3" w:tplc="041B0001" w:tentative="1">
      <w:start w:val="1"/>
      <w:numFmt w:val="bullet"/>
      <w:lvlText w:val=""/>
      <w:lvlJc w:val="left"/>
      <w:pPr>
        <w:ind w:left="5072" w:hanging="360"/>
      </w:pPr>
      <w:rPr>
        <w:rFonts w:ascii="Symbol" w:hAnsi="Symbol" w:hint="default"/>
      </w:rPr>
    </w:lvl>
    <w:lvl w:ilvl="4" w:tplc="041B0003" w:tentative="1">
      <w:start w:val="1"/>
      <w:numFmt w:val="bullet"/>
      <w:lvlText w:val="o"/>
      <w:lvlJc w:val="left"/>
      <w:pPr>
        <w:ind w:left="5792" w:hanging="360"/>
      </w:pPr>
      <w:rPr>
        <w:rFonts w:ascii="Courier New" w:hAnsi="Courier New" w:cs="Courier New" w:hint="default"/>
      </w:rPr>
    </w:lvl>
    <w:lvl w:ilvl="5" w:tplc="041B0005" w:tentative="1">
      <w:start w:val="1"/>
      <w:numFmt w:val="bullet"/>
      <w:lvlText w:val=""/>
      <w:lvlJc w:val="left"/>
      <w:pPr>
        <w:ind w:left="6512" w:hanging="360"/>
      </w:pPr>
      <w:rPr>
        <w:rFonts w:ascii="Wingdings" w:hAnsi="Wingdings" w:hint="default"/>
      </w:rPr>
    </w:lvl>
    <w:lvl w:ilvl="6" w:tplc="041B0001" w:tentative="1">
      <w:start w:val="1"/>
      <w:numFmt w:val="bullet"/>
      <w:lvlText w:val=""/>
      <w:lvlJc w:val="left"/>
      <w:pPr>
        <w:ind w:left="7232" w:hanging="360"/>
      </w:pPr>
      <w:rPr>
        <w:rFonts w:ascii="Symbol" w:hAnsi="Symbol" w:hint="default"/>
      </w:rPr>
    </w:lvl>
    <w:lvl w:ilvl="7" w:tplc="041B0003" w:tentative="1">
      <w:start w:val="1"/>
      <w:numFmt w:val="bullet"/>
      <w:lvlText w:val="o"/>
      <w:lvlJc w:val="left"/>
      <w:pPr>
        <w:ind w:left="7952" w:hanging="360"/>
      </w:pPr>
      <w:rPr>
        <w:rFonts w:ascii="Courier New" w:hAnsi="Courier New" w:cs="Courier New" w:hint="default"/>
      </w:rPr>
    </w:lvl>
    <w:lvl w:ilvl="8" w:tplc="041B0005" w:tentative="1">
      <w:start w:val="1"/>
      <w:numFmt w:val="bullet"/>
      <w:lvlText w:val=""/>
      <w:lvlJc w:val="left"/>
      <w:pPr>
        <w:ind w:left="8672" w:hanging="360"/>
      </w:pPr>
      <w:rPr>
        <w:rFonts w:ascii="Wingdings" w:hAnsi="Wingdings" w:hint="default"/>
      </w:rPr>
    </w:lvl>
  </w:abstractNum>
  <w:abstractNum w:abstractNumId="3">
    <w:nsid w:val="0DB511ED"/>
    <w:multiLevelType w:val="hybridMultilevel"/>
    <w:tmpl w:val="4EE291D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F002901"/>
    <w:multiLevelType w:val="hybridMultilevel"/>
    <w:tmpl w:val="159E905A"/>
    <w:lvl w:ilvl="0" w:tplc="97783B9A">
      <w:start w:val="2"/>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nsid w:val="1B4A11F0"/>
    <w:multiLevelType w:val="hybridMultilevel"/>
    <w:tmpl w:val="78F6E01C"/>
    <w:lvl w:ilvl="0" w:tplc="B2DAFF42">
      <w:start w:val="1"/>
      <w:numFmt w:val="decimal"/>
      <w:lvlText w:val="%1)"/>
      <w:lvlJc w:val="left"/>
      <w:pPr>
        <w:ind w:left="720" w:hanging="360"/>
      </w:pPr>
      <w:rPr>
        <w:rFonts w:hint="default"/>
        <w:b w:val="0"/>
        <w:bCs/>
      </w:rPr>
    </w:lvl>
    <w:lvl w:ilvl="1" w:tplc="36D6155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7512B8"/>
    <w:multiLevelType w:val="hybridMultilevel"/>
    <w:tmpl w:val="8F78883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nsid w:val="2A826F62"/>
    <w:multiLevelType w:val="hybridMultilevel"/>
    <w:tmpl w:val="3364DB94"/>
    <w:lvl w:ilvl="0" w:tplc="0324C82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0E9121C"/>
    <w:multiLevelType w:val="hybridMultilevel"/>
    <w:tmpl w:val="6178CC22"/>
    <w:lvl w:ilvl="0" w:tplc="6736216A">
      <w:numFmt w:val="bullet"/>
      <w:lvlText w:val="-"/>
      <w:lvlJc w:val="left"/>
      <w:pPr>
        <w:ind w:left="2385" w:hanging="360"/>
      </w:pPr>
      <w:rPr>
        <w:rFonts w:ascii="Times New Roman" w:eastAsiaTheme="minorHAnsi" w:hAnsi="Times New Roman" w:cs="Times New Roman" w:hint="default"/>
      </w:rPr>
    </w:lvl>
    <w:lvl w:ilvl="1" w:tplc="041B0003">
      <w:start w:val="1"/>
      <w:numFmt w:val="bullet"/>
      <w:lvlText w:val="o"/>
      <w:lvlJc w:val="left"/>
      <w:pPr>
        <w:ind w:left="3105" w:hanging="360"/>
      </w:pPr>
      <w:rPr>
        <w:rFonts w:ascii="Courier New" w:hAnsi="Courier New" w:cs="Courier New" w:hint="default"/>
      </w:rPr>
    </w:lvl>
    <w:lvl w:ilvl="2" w:tplc="041B0005">
      <w:start w:val="1"/>
      <w:numFmt w:val="bullet"/>
      <w:lvlText w:val=""/>
      <w:lvlJc w:val="left"/>
      <w:pPr>
        <w:ind w:left="3825" w:hanging="360"/>
      </w:pPr>
      <w:rPr>
        <w:rFonts w:ascii="Wingdings" w:hAnsi="Wingdings" w:hint="default"/>
      </w:rPr>
    </w:lvl>
    <w:lvl w:ilvl="3" w:tplc="041B0001">
      <w:start w:val="1"/>
      <w:numFmt w:val="bullet"/>
      <w:lvlText w:val=""/>
      <w:lvlJc w:val="left"/>
      <w:pPr>
        <w:ind w:left="4545" w:hanging="360"/>
      </w:pPr>
      <w:rPr>
        <w:rFonts w:ascii="Symbol" w:hAnsi="Symbol" w:hint="default"/>
      </w:rPr>
    </w:lvl>
    <w:lvl w:ilvl="4" w:tplc="041B0003">
      <w:start w:val="1"/>
      <w:numFmt w:val="bullet"/>
      <w:lvlText w:val="o"/>
      <w:lvlJc w:val="left"/>
      <w:pPr>
        <w:ind w:left="5265" w:hanging="360"/>
      </w:pPr>
      <w:rPr>
        <w:rFonts w:ascii="Courier New" w:hAnsi="Courier New" w:cs="Courier New" w:hint="default"/>
      </w:rPr>
    </w:lvl>
    <w:lvl w:ilvl="5" w:tplc="041B0005">
      <w:start w:val="1"/>
      <w:numFmt w:val="bullet"/>
      <w:lvlText w:val=""/>
      <w:lvlJc w:val="left"/>
      <w:pPr>
        <w:ind w:left="5985" w:hanging="360"/>
      </w:pPr>
      <w:rPr>
        <w:rFonts w:ascii="Wingdings" w:hAnsi="Wingdings" w:hint="default"/>
      </w:rPr>
    </w:lvl>
    <w:lvl w:ilvl="6" w:tplc="041B0001">
      <w:start w:val="1"/>
      <w:numFmt w:val="bullet"/>
      <w:lvlText w:val=""/>
      <w:lvlJc w:val="left"/>
      <w:pPr>
        <w:ind w:left="6705" w:hanging="360"/>
      </w:pPr>
      <w:rPr>
        <w:rFonts w:ascii="Symbol" w:hAnsi="Symbol" w:hint="default"/>
      </w:rPr>
    </w:lvl>
    <w:lvl w:ilvl="7" w:tplc="041B0003">
      <w:start w:val="1"/>
      <w:numFmt w:val="bullet"/>
      <w:lvlText w:val="o"/>
      <w:lvlJc w:val="left"/>
      <w:pPr>
        <w:ind w:left="7425" w:hanging="360"/>
      </w:pPr>
      <w:rPr>
        <w:rFonts w:ascii="Courier New" w:hAnsi="Courier New" w:cs="Courier New" w:hint="default"/>
      </w:rPr>
    </w:lvl>
    <w:lvl w:ilvl="8" w:tplc="041B0005">
      <w:start w:val="1"/>
      <w:numFmt w:val="bullet"/>
      <w:lvlText w:val=""/>
      <w:lvlJc w:val="left"/>
      <w:pPr>
        <w:ind w:left="8145" w:hanging="360"/>
      </w:pPr>
      <w:rPr>
        <w:rFonts w:ascii="Wingdings" w:hAnsi="Wingdings" w:hint="default"/>
      </w:rPr>
    </w:lvl>
  </w:abstractNum>
  <w:abstractNum w:abstractNumId="9">
    <w:nsid w:val="43F71A88"/>
    <w:multiLevelType w:val="hybridMultilevel"/>
    <w:tmpl w:val="BA76E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0AA62F3"/>
    <w:multiLevelType w:val="hybridMultilevel"/>
    <w:tmpl w:val="93745176"/>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ED25A8"/>
    <w:multiLevelType w:val="hybridMultilevel"/>
    <w:tmpl w:val="48847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3B76578"/>
    <w:multiLevelType w:val="hybridMultilevel"/>
    <w:tmpl w:val="CFC08598"/>
    <w:lvl w:ilvl="0" w:tplc="C3E8278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nsid w:val="5B4832CA"/>
    <w:multiLevelType w:val="hybridMultilevel"/>
    <w:tmpl w:val="65168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28844CA"/>
    <w:multiLevelType w:val="hybridMultilevel"/>
    <w:tmpl w:val="9C5E69F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5D0E7C"/>
    <w:multiLevelType w:val="hybridMultilevel"/>
    <w:tmpl w:val="B0AA1ACE"/>
    <w:lvl w:ilvl="0" w:tplc="B2DAFF42">
      <w:start w:val="1"/>
      <w:numFmt w:val="decimal"/>
      <w:lvlText w:val="%1)"/>
      <w:lvlJc w:val="left"/>
      <w:pPr>
        <w:tabs>
          <w:tab w:val="num" w:pos="360"/>
        </w:tabs>
        <w:ind w:left="360" w:hanging="360"/>
      </w:pPr>
      <w:rPr>
        <w:rFonts w:hint="default"/>
        <w:b w:val="0"/>
        <w:bCs/>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67F32100"/>
    <w:multiLevelType w:val="hybridMultilevel"/>
    <w:tmpl w:val="16CE53D6"/>
    <w:lvl w:ilvl="0" w:tplc="C58AC2F8">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D20427B"/>
    <w:multiLevelType w:val="hybridMultilevel"/>
    <w:tmpl w:val="CBBA1748"/>
    <w:lvl w:ilvl="0" w:tplc="2200BE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4BD3669"/>
    <w:multiLevelType w:val="hybridMultilevel"/>
    <w:tmpl w:val="4404D604"/>
    <w:lvl w:ilvl="0" w:tplc="B4EC72A2">
      <w:start w:val="1"/>
      <w:numFmt w:val="decimal"/>
      <w:lvlText w:val="%1."/>
      <w:lvlJc w:val="left"/>
      <w:pPr>
        <w:ind w:left="720" w:hanging="360"/>
      </w:pPr>
      <w:rPr>
        <w:rFonts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D60B3A"/>
    <w:multiLevelType w:val="hybridMultilevel"/>
    <w:tmpl w:val="796233F8"/>
    <w:lvl w:ilvl="0" w:tplc="6B6EBD52">
      <w:start w:val="1"/>
      <w:numFmt w:val="bullet"/>
      <w:lvlText w:val="-"/>
      <w:lvlJc w:val="left"/>
      <w:pPr>
        <w:ind w:left="2487" w:hanging="360"/>
      </w:pPr>
      <w:rPr>
        <w:rFonts w:ascii="Times New Roman" w:eastAsia="Times New Roman" w:hAnsi="Times New Roman" w:cs="Times New Roman"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0">
    <w:nsid w:val="7FB17FA5"/>
    <w:multiLevelType w:val="hybridMultilevel"/>
    <w:tmpl w:val="4F1681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3"/>
  </w:num>
  <w:num w:numId="4">
    <w:abstractNumId w:val="2"/>
  </w:num>
  <w:num w:numId="5">
    <w:abstractNumId w:val="14"/>
  </w:num>
  <w:num w:numId="6">
    <w:abstractNumId w:val="16"/>
  </w:num>
  <w:num w:numId="7">
    <w:abstractNumId w:val="15"/>
  </w:num>
  <w:num w:numId="8">
    <w:abstractNumId w:val="13"/>
  </w:num>
  <w:num w:numId="9">
    <w:abstractNumId w:val="5"/>
  </w:num>
  <w:num w:numId="10">
    <w:abstractNumId w:val="1"/>
  </w:num>
  <w:num w:numId="11">
    <w:abstractNumId w:val="6"/>
  </w:num>
  <w:num w:numId="12">
    <w:abstractNumId w:val="8"/>
  </w:num>
  <w:num w:numId="13">
    <w:abstractNumId w:val="19"/>
  </w:num>
  <w:num w:numId="14">
    <w:abstractNumId w:val="7"/>
  </w:num>
  <w:num w:numId="15">
    <w:abstractNumId w:val="4"/>
  </w:num>
  <w:num w:numId="16">
    <w:abstractNumId w:val="10"/>
  </w:num>
  <w:num w:numId="17">
    <w:abstractNumId w:val="9"/>
  </w:num>
  <w:num w:numId="18">
    <w:abstractNumId w:val="0"/>
  </w:num>
  <w:num w:numId="19">
    <w:abstractNumId w:val="12"/>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9763B"/>
    <w:rsid w:val="00014879"/>
    <w:rsid w:val="00014CCE"/>
    <w:rsid w:val="0002549C"/>
    <w:rsid w:val="00031A3E"/>
    <w:rsid w:val="000572B9"/>
    <w:rsid w:val="00071025"/>
    <w:rsid w:val="0007195A"/>
    <w:rsid w:val="00080DAB"/>
    <w:rsid w:val="00083039"/>
    <w:rsid w:val="000878DF"/>
    <w:rsid w:val="00095283"/>
    <w:rsid w:val="000B3014"/>
    <w:rsid w:val="000C17AD"/>
    <w:rsid w:val="000E5014"/>
    <w:rsid w:val="00112D28"/>
    <w:rsid w:val="001437EE"/>
    <w:rsid w:val="00163FB3"/>
    <w:rsid w:val="00176853"/>
    <w:rsid w:val="0019763B"/>
    <w:rsid w:val="001A270F"/>
    <w:rsid w:val="001A5581"/>
    <w:rsid w:val="001A5634"/>
    <w:rsid w:val="001B4311"/>
    <w:rsid w:val="001C6292"/>
    <w:rsid w:val="001D0610"/>
    <w:rsid w:val="001E35C7"/>
    <w:rsid w:val="00213C9E"/>
    <w:rsid w:val="0023416D"/>
    <w:rsid w:val="002555C0"/>
    <w:rsid w:val="002656A2"/>
    <w:rsid w:val="00266BA0"/>
    <w:rsid w:val="00274934"/>
    <w:rsid w:val="002777D5"/>
    <w:rsid w:val="002854C8"/>
    <w:rsid w:val="00285C7F"/>
    <w:rsid w:val="002B2637"/>
    <w:rsid w:val="002B53FD"/>
    <w:rsid w:val="002D686E"/>
    <w:rsid w:val="0030797B"/>
    <w:rsid w:val="00312CC2"/>
    <w:rsid w:val="003160C8"/>
    <w:rsid w:val="003200D3"/>
    <w:rsid w:val="00377636"/>
    <w:rsid w:val="003802FF"/>
    <w:rsid w:val="00382A89"/>
    <w:rsid w:val="003934CE"/>
    <w:rsid w:val="003B1FD5"/>
    <w:rsid w:val="003C3D47"/>
    <w:rsid w:val="003D0F7A"/>
    <w:rsid w:val="003D1701"/>
    <w:rsid w:val="003D63AD"/>
    <w:rsid w:val="00413E6A"/>
    <w:rsid w:val="004200ED"/>
    <w:rsid w:val="00430586"/>
    <w:rsid w:val="00430B65"/>
    <w:rsid w:val="0045693E"/>
    <w:rsid w:val="00467FB0"/>
    <w:rsid w:val="00485DB7"/>
    <w:rsid w:val="00487AAE"/>
    <w:rsid w:val="004A3E0E"/>
    <w:rsid w:val="004B0AAD"/>
    <w:rsid w:val="004B6A07"/>
    <w:rsid w:val="004E0211"/>
    <w:rsid w:val="004E1527"/>
    <w:rsid w:val="004F1283"/>
    <w:rsid w:val="0052688A"/>
    <w:rsid w:val="00557B7D"/>
    <w:rsid w:val="0057651A"/>
    <w:rsid w:val="00592220"/>
    <w:rsid w:val="005C136C"/>
    <w:rsid w:val="005E15C3"/>
    <w:rsid w:val="005E4884"/>
    <w:rsid w:val="005F1ACA"/>
    <w:rsid w:val="00627CAD"/>
    <w:rsid w:val="006362A2"/>
    <w:rsid w:val="006559FE"/>
    <w:rsid w:val="00663E93"/>
    <w:rsid w:val="006648E8"/>
    <w:rsid w:val="0067396B"/>
    <w:rsid w:val="00681333"/>
    <w:rsid w:val="00681E80"/>
    <w:rsid w:val="00687B99"/>
    <w:rsid w:val="006A1CAE"/>
    <w:rsid w:val="006B7F93"/>
    <w:rsid w:val="006C2975"/>
    <w:rsid w:val="006F396E"/>
    <w:rsid w:val="00757687"/>
    <w:rsid w:val="00760152"/>
    <w:rsid w:val="007728C1"/>
    <w:rsid w:val="00777C1D"/>
    <w:rsid w:val="007A02E2"/>
    <w:rsid w:val="007D3A10"/>
    <w:rsid w:val="007D4837"/>
    <w:rsid w:val="007E2ACC"/>
    <w:rsid w:val="007E5FB7"/>
    <w:rsid w:val="00813FE4"/>
    <w:rsid w:val="008271BE"/>
    <w:rsid w:val="00842E04"/>
    <w:rsid w:val="00846709"/>
    <w:rsid w:val="00853AD8"/>
    <w:rsid w:val="0085773E"/>
    <w:rsid w:val="00862195"/>
    <w:rsid w:val="00890C61"/>
    <w:rsid w:val="008A22BE"/>
    <w:rsid w:val="008D133A"/>
    <w:rsid w:val="008D16A0"/>
    <w:rsid w:val="008D6583"/>
    <w:rsid w:val="008E02E4"/>
    <w:rsid w:val="00913570"/>
    <w:rsid w:val="00921268"/>
    <w:rsid w:val="00925AAC"/>
    <w:rsid w:val="0093025E"/>
    <w:rsid w:val="00957633"/>
    <w:rsid w:val="00983172"/>
    <w:rsid w:val="009A25C4"/>
    <w:rsid w:val="009A4F1C"/>
    <w:rsid w:val="009A5330"/>
    <w:rsid w:val="009B7473"/>
    <w:rsid w:val="009C3F02"/>
    <w:rsid w:val="009C686D"/>
    <w:rsid w:val="009D1013"/>
    <w:rsid w:val="009D7BC6"/>
    <w:rsid w:val="009E3DBD"/>
    <w:rsid w:val="009E5473"/>
    <w:rsid w:val="00A136A5"/>
    <w:rsid w:val="00A20684"/>
    <w:rsid w:val="00A21393"/>
    <w:rsid w:val="00A30ED8"/>
    <w:rsid w:val="00A32989"/>
    <w:rsid w:val="00A338B6"/>
    <w:rsid w:val="00A43253"/>
    <w:rsid w:val="00A45279"/>
    <w:rsid w:val="00A649F5"/>
    <w:rsid w:val="00A811D8"/>
    <w:rsid w:val="00A87311"/>
    <w:rsid w:val="00AA1CDC"/>
    <w:rsid w:val="00AA7D93"/>
    <w:rsid w:val="00AB2566"/>
    <w:rsid w:val="00AB6531"/>
    <w:rsid w:val="00AC796D"/>
    <w:rsid w:val="00AD04A7"/>
    <w:rsid w:val="00AD28A5"/>
    <w:rsid w:val="00AD3C2A"/>
    <w:rsid w:val="00AD5282"/>
    <w:rsid w:val="00AE5C2A"/>
    <w:rsid w:val="00AF3097"/>
    <w:rsid w:val="00B04B13"/>
    <w:rsid w:val="00B05B42"/>
    <w:rsid w:val="00B43034"/>
    <w:rsid w:val="00B67148"/>
    <w:rsid w:val="00B90284"/>
    <w:rsid w:val="00BD41E2"/>
    <w:rsid w:val="00C047A9"/>
    <w:rsid w:val="00C16A7F"/>
    <w:rsid w:val="00C346A6"/>
    <w:rsid w:val="00C34EF7"/>
    <w:rsid w:val="00C374AC"/>
    <w:rsid w:val="00C3761F"/>
    <w:rsid w:val="00C46DA7"/>
    <w:rsid w:val="00C63424"/>
    <w:rsid w:val="00C645E8"/>
    <w:rsid w:val="00C66B6D"/>
    <w:rsid w:val="00CB0004"/>
    <w:rsid w:val="00CB7E8A"/>
    <w:rsid w:val="00CC6C68"/>
    <w:rsid w:val="00CD5D5F"/>
    <w:rsid w:val="00CF4AD4"/>
    <w:rsid w:val="00CF55D5"/>
    <w:rsid w:val="00D35989"/>
    <w:rsid w:val="00D50ECE"/>
    <w:rsid w:val="00D5578F"/>
    <w:rsid w:val="00D621DC"/>
    <w:rsid w:val="00D70034"/>
    <w:rsid w:val="00D92EF3"/>
    <w:rsid w:val="00D96A80"/>
    <w:rsid w:val="00DA299A"/>
    <w:rsid w:val="00DB40EF"/>
    <w:rsid w:val="00DD05AC"/>
    <w:rsid w:val="00DD5F03"/>
    <w:rsid w:val="00DE54C7"/>
    <w:rsid w:val="00DE6F8F"/>
    <w:rsid w:val="00E1702A"/>
    <w:rsid w:val="00E25C89"/>
    <w:rsid w:val="00E334C7"/>
    <w:rsid w:val="00E34924"/>
    <w:rsid w:val="00E469A7"/>
    <w:rsid w:val="00E5181E"/>
    <w:rsid w:val="00E571BA"/>
    <w:rsid w:val="00E65360"/>
    <w:rsid w:val="00E75D26"/>
    <w:rsid w:val="00E85D98"/>
    <w:rsid w:val="00E86580"/>
    <w:rsid w:val="00E90661"/>
    <w:rsid w:val="00E95C8B"/>
    <w:rsid w:val="00EC4F86"/>
    <w:rsid w:val="00EC7A88"/>
    <w:rsid w:val="00EE643A"/>
    <w:rsid w:val="00EE7606"/>
    <w:rsid w:val="00EF729B"/>
    <w:rsid w:val="00F12541"/>
    <w:rsid w:val="00F2254F"/>
    <w:rsid w:val="00F24DF6"/>
    <w:rsid w:val="00F5450E"/>
    <w:rsid w:val="00F5679F"/>
    <w:rsid w:val="00F61655"/>
    <w:rsid w:val="00F8196D"/>
    <w:rsid w:val="00F82BD9"/>
    <w:rsid w:val="00FB133A"/>
    <w:rsid w:val="00FB7478"/>
    <w:rsid w:val="00FF17E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paragraph" w:styleId="Nadpis2">
    <w:name w:val="heading 2"/>
    <w:basedOn w:val="Normlny"/>
    <w:next w:val="Normlny"/>
    <w:link w:val="Nadpis2Char"/>
    <w:uiPriority w:val="9"/>
    <w:semiHidden/>
    <w:unhideWhenUsed/>
    <w:qFormat/>
    <w:rsid w:val="00AD3C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3C3D47"/>
    <w:pPr>
      <w:keepNext/>
      <w:keepLines/>
      <w:spacing w:before="40"/>
      <w:outlineLvl w:val="2"/>
    </w:pPr>
    <w:rPr>
      <w:rFonts w:asciiTheme="majorHAnsi" w:eastAsiaTheme="majorEastAsia" w:hAnsiTheme="majorHAnsi" w:cstheme="majorBidi"/>
      <w:color w:val="243F60" w:themeColor="accent1" w:themeShade="7F"/>
    </w:rPr>
  </w:style>
  <w:style w:type="paragraph" w:styleId="Nadpis9">
    <w:name w:val="heading 9"/>
    <w:basedOn w:val="Normlny"/>
    <w:next w:val="Normlny"/>
    <w:link w:val="Nadpis9Char"/>
    <w:rsid w:val="009A4F1C"/>
    <w:pPr>
      <w:suppressAutoHyphens/>
      <w:autoSpaceDN w:val="0"/>
      <w:spacing w:before="240" w:after="60"/>
      <w:textAlignment w:val="baseline"/>
      <w:outlineLvl w:val="8"/>
    </w:pPr>
    <w:rPr>
      <w:rFonts w:ascii="Arial" w:hAnsi="Arial" w:cs="Arial"/>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59"/>
    <w:rsid w:val="009B7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Char">
    <w:name w:val="Päta Char"/>
    <w:basedOn w:val="Predvolenpsmoodseku"/>
    <w:link w:val="Pta"/>
    <w:uiPriority w:val="99"/>
    <w:rsid w:val="00DB40EF"/>
    <w:rPr>
      <w:sz w:val="24"/>
      <w:szCs w:val="24"/>
    </w:rPr>
  </w:style>
  <w:style w:type="paragraph" w:styleId="Odsekzoznamu">
    <w:name w:val="List Paragraph"/>
    <w:basedOn w:val="Normlny"/>
    <w:uiPriority w:val="34"/>
    <w:qFormat/>
    <w:rsid w:val="001C6292"/>
    <w:pPr>
      <w:ind w:left="720"/>
      <w:contextualSpacing/>
    </w:pPr>
  </w:style>
  <w:style w:type="character" w:customStyle="1" w:styleId="Nadpis2Char">
    <w:name w:val="Nadpis 2 Char"/>
    <w:basedOn w:val="Predvolenpsmoodseku"/>
    <w:link w:val="Nadpis2"/>
    <w:uiPriority w:val="9"/>
    <w:semiHidden/>
    <w:rsid w:val="00AD3C2A"/>
    <w:rPr>
      <w:rFonts w:asciiTheme="majorHAnsi" w:eastAsiaTheme="majorEastAsia" w:hAnsiTheme="majorHAnsi" w:cstheme="majorBidi"/>
      <w:color w:val="365F91" w:themeColor="accent1" w:themeShade="BF"/>
      <w:sz w:val="26"/>
      <w:szCs w:val="26"/>
    </w:rPr>
  </w:style>
  <w:style w:type="paragraph" w:styleId="Zkladntext">
    <w:name w:val="Body Text"/>
    <w:basedOn w:val="Normlny"/>
    <w:link w:val="ZkladntextChar"/>
    <w:uiPriority w:val="99"/>
    <w:rsid w:val="00AD3C2A"/>
    <w:pPr>
      <w:overflowPunct w:val="0"/>
      <w:autoSpaceDE w:val="0"/>
      <w:autoSpaceDN w:val="0"/>
      <w:adjustRightInd w:val="0"/>
    </w:pPr>
    <w:rPr>
      <w:bCs/>
      <w:szCs w:val="20"/>
    </w:rPr>
  </w:style>
  <w:style w:type="character" w:customStyle="1" w:styleId="ZkladntextChar">
    <w:name w:val="Základný text Char"/>
    <w:basedOn w:val="Predvolenpsmoodseku"/>
    <w:link w:val="Zkladntext"/>
    <w:uiPriority w:val="99"/>
    <w:rsid w:val="00AD3C2A"/>
    <w:rPr>
      <w:bCs/>
      <w:sz w:val="24"/>
    </w:rPr>
  </w:style>
  <w:style w:type="paragraph" w:styleId="Textbubliny">
    <w:name w:val="Balloon Text"/>
    <w:basedOn w:val="Normlny"/>
    <w:link w:val="TextbublinyChar"/>
    <w:uiPriority w:val="99"/>
    <w:semiHidden/>
    <w:unhideWhenUsed/>
    <w:rsid w:val="00C63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3424"/>
    <w:rPr>
      <w:rFonts w:ascii="Segoe UI" w:hAnsi="Segoe UI" w:cs="Segoe UI"/>
      <w:sz w:val="18"/>
      <w:szCs w:val="18"/>
    </w:rPr>
  </w:style>
  <w:style w:type="paragraph" w:styleId="Obyajntext">
    <w:name w:val="Plain Text"/>
    <w:basedOn w:val="Normlny"/>
    <w:link w:val="ObyajntextChar"/>
    <w:rsid w:val="00213C9E"/>
    <w:pPr>
      <w:autoSpaceDE w:val="0"/>
      <w:autoSpaceDN w:val="0"/>
    </w:pPr>
    <w:rPr>
      <w:rFonts w:ascii="Courier New" w:hAnsi="Courier New"/>
      <w:sz w:val="20"/>
      <w:szCs w:val="20"/>
    </w:rPr>
  </w:style>
  <w:style w:type="character" w:customStyle="1" w:styleId="ObyajntextChar">
    <w:name w:val="Obyčajný text Char"/>
    <w:basedOn w:val="Predvolenpsmoodseku"/>
    <w:link w:val="Obyajntext"/>
    <w:rsid w:val="00213C9E"/>
    <w:rPr>
      <w:rFonts w:ascii="Courier New" w:hAnsi="Courier New"/>
    </w:rPr>
  </w:style>
  <w:style w:type="paragraph" w:customStyle="1" w:styleId="Default">
    <w:name w:val="Default"/>
    <w:rsid w:val="00213C9E"/>
    <w:pPr>
      <w:autoSpaceDE w:val="0"/>
      <w:autoSpaceDN w:val="0"/>
      <w:adjustRightInd w:val="0"/>
    </w:pPr>
    <w:rPr>
      <w:rFonts w:ascii="Bookman Old Style" w:eastAsia="Calibri" w:hAnsi="Bookman Old Style" w:cs="Bookman Old Style"/>
      <w:color w:val="000000"/>
      <w:sz w:val="24"/>
      <w:szCs w:val="24"/>
    </w:rPr>
  </w:style>
  <w:style w:type="paragraph" w:styleId="Bezriadkovania">
    <w:name w:val="No Spacing"/>
    <w:uiPriority w:val="1"/>
    <w:qFormat/>
    <w:rsid w:val="007D3A10"/>
    <w:rPr>
      <w:rFonts w:asciiTheme="minorHAnsi" w:eastAsiaTheme="minorHAnsi" w:hAnsiTheme="minorHAnsi" w:cstheme="minorBidi"/>
      <w:sz w:val="22"/>
      <w:szCs w:val="22"/>
      <w:lang w:eastAsia="en-US"/>
    </w:rPr>
  </w:style>
  <w:style w:type="character" w:styleId="Hypertextovprepojenie">
    <w:name w:val="Hyperlink"/>
    <w:rsid w:val="004A3E0E"/>
    <w:rPr>
      <w:color w:val="CD060D"/>
      <w:u w:val="single"/>
    </w:rPr>
  </w:style>
  <w:style w:type="character" w:customStyle="1" w:styleId="UnresolvedMention">
    <w:name w:val="Unresolved Mention"/>
    <w:basedOn w:val="Predvolenpsmoodseku"/>
    <w:uiPriority w:val="99"/>
    <w:semiHidden/>
    <w:unhideWhenUsed/>
    <w:rsid w:val="001A270F"/>
    <w:rPr>
      <w:color w:val="605E5C"/>
      <w:shd w:val="clear" w:color="auto" w:fill="E1DFDD"/>
    </w:rPr>
  </w:style>
  <w:style w:type="paragraph" w:customStyle="1" w:styleId="Odsekzoznamu1">
    <w:name w:val="Odsek zoznamu1"/>
    <w:basedOn w:val="Normlny"/>
    <w:rsid w:val="00A20684"/>
    <w:pPr>
      <w:suppressAutoHyphens/>
      <w:spacing w:after="200" w:line="276" w:lineRule="auto"/>
      <w:ind w:left="720"/>
    </w:pPr>
    <w:rPr>
      <w:rFonts w:ascii="Calibri" w:eastAsia="SimSun" w:hAnsi="Calibri" w:cs="Calibri"/>
      <w:kern w:val="1"/>
      <w:sz w:val="22"/>
      <w:szCs w:val="22"/>
      <w:lang w:eastAsia="ar-SA"/>
    </w:rPr>
  </w:style>
  <w:style w:type="character" w:customStyle="1" w:styleId="Nadpis9Char">
    <w:name w:val="Nadpis 9 Char"/>
    <w:basedOn w:val="Predvolenpsmoodseku"/>
    <w:link w:val="Nadpis9"/>
    <w:rsid w:val="009A4F1C"/>
    <w:rPr>
      <w:rFonts w:ascii="Arial" w:hAnsi="Arial" w:cs="Arial"/>
      <w:sz w:val="22"/>
      <w:szCs w:val="22"/>
      <w:lang w:eastAsia="ar-SA"/>
    </w:rPr>
  </w:style>
  <w:style w:type="character" w:customStyle="1" w:styleId="Nadpis3Char">
    <w:name w:val="Nadpis 3 Char"/>
    <w:basedOn w:val="Predvolenpsmoodseku"/>
    <w:link w:val="Nadpis3"/>
    <w:uiPriority w:val="9"/>
    <w:semiHidden/>
    <w:rsid w:val="003C3D4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76453117">
      <w:bodyDiv w:val="1"/>
      <w:marLeft w:val="0"/>
      <w:marRight w:val="0"/>
      <w:marTop w:val="0"/>
      <w:marBottom w:val="0"/>
      <w:divBdr>
        <w:top w:val="none" w:sz="0" w:space="0" w:color="auto"/>
        <w:left w:val="none" w:sz="0" w:space="0" w:color="auto"/>
        <w:bottom w:val="none" w:sz="0" w:space="0" w:color="auto"/>
        <w:right w:val="none" w:sz="0" w:space="0" w:color="auto"/>
      </w:divBdr>
    </w:div>
    <w:div w:id="927735219">
      <w:bodyDiv w:val="1"/>
      <w:marLeft w:val="0"/>
      <w:marRight w:val="0"/>
      <w:marTop w:val="0"/>
      <w:marBottom w:val="0"/>
      <w:divBdr>
        <w:top w:val="none" w:sz="0" w:space="0" w:color="auto"/>
        <w:left w:val="none" w:sz="0" w:space="0" w:color="auto"/>
        <w:bottom w:val="none" w:sz="0" w:space="0" w:color="auto"/>
        <w:right w:val="none" w:sz="0" w:space="0" w:color="auto"/>
      </w:divBdr>
    </w:div>
    <w:div w:id="1224364153">
      <w:bodyDiv w:val="1"/>
      <w:marLeft w:val="0"/>
      <w:marRight w:val="0"/>
      <w:marTop w:val="0"/>
      <w:marBottom w:val="0"/>
      <w:divBdr>
        <w:top w:val="none" w:sz="0" w:space="0" w:color="auto"/>
        <w:left w:val="none" w:sz="0" w:space="0" w:color="auto"/>
        <w:bottom w:val="none" w:sz="0" w:space="0" w:color="auto"/>
        <w:right w:val="none" w:sz="0" w:space="0" w:color="auto"/>
      </w:divBdr>
    </w:div>
    <w:div w:id="1434548024">
      <w:bodyDiv w:val="1"/>
      <w:marLeft w:val="0"/>
      <w:marRight w:val="0"/>
      <w:marTop w:val="0"/>
      <w:marBottom w:val="0"/>
      <w:divBdr>
        <w:top w:val="none" w:sz="0" w:space="0" w:color="auto"/>
        <w:left w:val="none" w:sz="0" w:space="0" w:color="auto"/>
        <w:bottom w:val="none" w:sz="0" w:space="0" w:color="auto"/>
        <w:right w:val="none" w:sz="0" w:space="0" w:color="auto"/>
      </w:divBdr>
    </w:div>
    <w:div w:id="20742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2-4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akonypreludi.sk/zz/2002-44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D261-A047-4D07-B973-75F36F2D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557</Words>
  <Characters>3177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pc</cp:lastModifiedBy>
  <cp:revision>4</cp:revision>
  <cp:lastPrinted>2022-11-23T13:45:00Z</cp:lastPrinted>
  <dcterms:created xsi:type="dcterms:W3CDTF">2023-12-13T08:15:00Z</dcterms:created>
  <dcterms:modified xsi:type="dcterms:W3CDTF">2023-12-13T08:17:00Z</dcterms:modified>
</cp:coreProperties>
</file>